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5"/>
          <w:szCs w:val="4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  <w:t>阳高县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</w:rPr>
        <w:t>住宅物业服务质量星级评价评分标准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tbl>
      <w:tblPr>
        <w:tblStyle w:val="4"/>
        <w:tblW w:w="879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5724"/>
        <w:gridCol w:w="599"/>
        <w:gridCol w:w="579"/>
        <w:gridCol w:w="57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85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分</w:t>
            </w:r>
          </w:p>
        </w:tc>
        <w:tc>
          <w:tcPr>
            <w:tcW w:w="233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51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考核内容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87" w:right="6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78" w:right="7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初评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分值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8" w:right="31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市评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0" w:right="5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省评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一、专家评审部分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8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60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基本管理服务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8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1"/>
                <w:szCs w:val="21"/>
              </w:rPr>
              <w:t>10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7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资料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1.物业用房及设备设施清单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2.竣工图纸资料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6"/>
                <w:sz w:val="21"/>
                <w:szCs w:val="21"/>
              </w:rPr>
              <w:t>3.竣工验收交接清单资料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4.物业产权资料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5.设施设备安装、使用和维修保养技术资料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0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6.各单项工程竣工验收证明材料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7.业主入户档案基本信息资料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8.历次交接清单资料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9.档案分类规范，有目录查阅方便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制度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32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建立健全各项管理制度、岗位工作标准及应急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预案等，有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落实措施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4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4" w:right="13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人员 要求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32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1.建立企业员工培训体系，根据不同岗位特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点制订并落实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员工分类培训计划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26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0"/>
                <w:szCs w:val="20"/>
              </w:rPr>
              <w:t>2.专业岗位操作人员按规定持有岗位证书</w:t>
            </w:r>
            <w:r>
              <w:rPr>
                <w:rFonts w:hint="eastAsia" w:ascii="仿宋_GB2312" w:hAnsi="仿宋_GB2312" w:eastAsia="仿宋_GB2312" w:cs="仿宋_GB2312"/>
                <w:spacing w:val="13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3"/>
                <w:sz w:val="20"/>
                <w:szCs w:val="20"/>
              </w:rPr>
              <w:t>包括项目负责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人、消防控制室值班操作人员、电梯维修人员、高低压电工等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  <w:lang w:eastAsia="zh-CN"/>
              </w:rPr>
              <w:t>）。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0.5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1.不同岗位服务人员分类统一着装，佩戴工作标志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20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2.服务人员态度热情耐心，举止文明礼貌，解答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问题及时 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0.5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现代化管 理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23" w:firstLine="20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开展小区智慧物业服务，在电梯、消防、给排水等重要设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施设备应当安装传感器，在小区周界、出入口、停车场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公共区域安装智能设备等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74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54" w:right="14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信息 公开 内容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1.收费、财务管理等方面执行有关规定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3" w:firstLine="23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2.在物业服务区域显著位置设立物业服务信息监管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公示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栏，如实公布项目负责人基本情况、联系方式、物业服务投诉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电话、服务内容和标准、收费项目和标准、电梯和消防等设施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设备维保单位和联系方式、车位车库使用情况、公共水电费分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摊情况、物业费和业主共有部分经营收益收支情况、电梯维保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支出情况等信息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24小时值班，设立服务电话，接受业主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使用人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对物业  服务报修、问询、投诉等各类信息的收集和反馈，并及时处理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有记录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19" w:tblpY="19"/>
        <w:tblOverlap w:val="never"/>
        <w:tblW w:w="8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5734"/>
        <w:gridCol w:w="599"/>
        <w:gridCol w:w="579"/>
        <w:gridCol w:w="579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维修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资金和公共收益管理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1.制定维修资金申请、使用相关制度，记录完整，维修资金使用情况及时向业主公布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2.维修资金使用应符合有关规定，无挪用、擅自扩大使用 范围等违规行为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26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1.公共收益单独设账，接受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社区（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监管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32"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2.公共收益使用应符合有关规定，无侵占挪用等违规行为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32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3.每年向业主如实公开公布公共收益收支情况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6"/>
                <w:sz w:val="21"/>
                <w:szCs w:val="21"/>
              </w:rPr>
              <w:t>承接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查验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手续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1.物业承接查验协议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2.房屋及共用部位、共用设施设备查验、交接记录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3.房屋及共用部位、共用设施设备遗留问题处理记录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4"/>
                <w:sz w:val="21"/>
                <w:szCs w:val="21"/>
              </w:rPr>
              <w:t>4.物业保修相关资料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5.其它有关文件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39" w:hanging="9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19"/>
                <w:szCs w:val="19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18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19"/>
                <w:szCs w:val="19"/>
              </w:rPr>
              <w:t>到</w:t>
            </w:r>
            <w:r>
              <w:rPr>
                <w:rFonts w:hint="eastAsia" w:ascii="仿宋_GB2312" w:hAnsi="仿宋_GB2312" w:eastAsia="仿宋_GB2312" w:cs="仿宋_GB2312"/>
                <w:spacing w:val="-31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19"/>
                <w:szCs w:val="19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19"/>
                <w:szCs w:val="19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19"/>
                <w:szCs w:val="19"/>
              </w:rPr>
              <w:t>制度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1.物业企业、物业服务合同、项目负责人属地县级主管部 门备案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2.项目负责人到街办、社区报到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6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建筑物管理房屋共用部位管理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标识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1.管理区域主出入口设有门禁系统、平面示意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2.设有警示标识、温馨提示规范清晰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3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3.楼幢、单元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门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、户门等规范、清晰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 w:right="1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共用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部位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1.符合规划，无违章搭建、无擅自改变用途现象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2.定期巡查屋面、门、窗、楼梯、通道等并记录，功能正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常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装修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1.装饰装修符合规定，并签订装饰装修管理服务协议，装 修管理资料分户存档，查验记录完整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2.书面告知装饰装修的禁止行为和注意事项，并在装修现 场公示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3.装修垃圾定点堆放，定时清运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17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共用设施设备管理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8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16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6"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6"/>
                <w:sz w:val="21"/>
                <w:szCs w:val="21"/>
                <w:lang w:val="en-US" w:eastAsia="zh-CN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1.设施设备专业管理人员配置合理，岗位责任明确记录并 提供有效期内的岗位证书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2.设施设备台账、设备卡清晰准确，实施动态管理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3.制定针对性的设施设备维修养护计划并组织实施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4.设施设备日常巡视检查、维修养护及紧急处理等记录 完整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5.共用设施设备保持清洁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6.制定设施设备安全隐患排查记录及防范措施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7.制定设施设备应急预案，定期培训演练并有记录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8.操作人员熟练掌握、严格执行设施设备操作规程及保养 规范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47" w:firstLine="92"/>
              <w:textAlignment w:val="auto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sz w:val="19"/>
                <w:szCs w:val="19"/>
              </w:rPr>
              <w:t>共用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5"/>
                <w:sz w:val="19"/>
                <w:szCs w:val="19"/>
              </w:rPr>
              <w:t>管</w:t>
            </w:r>
            <w:r>
              <w:rPr>
                <w:rFonts w:hint="eastAsia" w:ascii="仿宋_GB2312" w:hAnsi="仿宋_GB2312" w:eastAsia="仿宋_GB2312" w:cs="仿宋_GB2312"/>
                <w:spacing w:val="-18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5"/>
                <w:sz w:val="19"/>
                <w:szCs w:val="19"/>
              </w:rPr>
              <w:t>线</w:t>
            </w:r>
            <w:r>
              <w:rPr>
                <w:rFonts w:hint="eastAsia" w:ascii="仿宋_GB2312" w:hAnsi="仿宋_GB2312" w:eastAsia="仿宋_GB2312" w:cs="仿宋_GB2312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5"/>
                <w:sz w:val="19"/>
                <w:szCs w:val="19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2"/>
                <w:sz w:val="19"/>
                <w:szCs w:val="19"/>
              </w:rPr>
              <w:t>管道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2"/>
                <w:sz w:val="19"/>
                <w:szCs w:val="19"/>
              </w:rPr>
              <w:t>管理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1.无临时管线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确有需要的必须要有书面申请和记录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2.排水排污管道定期疏通清掏并有相关记录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3.化粪池等定期巡检、及时疏通与清掏，无堵塞、无外溢 现象并保持其标识完整，路面井盖无缺损，井盖表面标志清晰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tbl>
      <w:tblPr>
        <w:tblStyle w:val="4"/>
        <w:tblW w:w="8805" w:type="dxa"/>
        <w:tblInd w:w="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136"/>
        <w:gridCol w:w="1609"/>
        <w:gridCol w:w="615"/>
        <w:gridCol w:w="540"/>
        <w:gridCol w:w="60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1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5" w:right="14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设备 机房 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32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1.设备机房门口应有机房类别及管理标识，保持门窗、锁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具完好、有效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4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2.设备系统图、应急预案流程图、管理制度、特种作业人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员资格证书等张贴于设备机房明显位置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3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3.值班及非工作人员进出设备机房记录、交接班记录、设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施设备运行、巡检、操作记录清晰完整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0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4.设施设备管线标志清晰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5.设备机房整洁、无杂物堆放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0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6.设备机房无渗漏、无积水，设备表面无积尘、无锈蚀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41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7.设备机房内应按规定配置消防、通风、应急照明、并防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止小动物等进入设施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33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8.设备机房的疏散、警示标识、设备噪声和三废排放符合</w:t>
            </w:r>
            <w:r>
              <w:rPr>
                <w:rFonts w:hint="eastAsia" w:ascii="仿宋_GB2312" w:hAnsi="仿宋_GB2312" w:eastAsia="仿宋_GB2312" w:cs="仿宋_GB2312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规范要求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61" w:firstLine="20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9.设备机房具备温、湿度检测设备，且环境温度、湿度值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在规定范围内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10.未发生过重大管理责任事故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强电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33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1.供用电设备运行正常、维修养护合规有效、巡检记录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完整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26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2.停送电严格执行操作票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倒闸操作票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制度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3.安全警示牌配置齐全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33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4.供电设备定期检修检验，安全防护用具配置齐全，年检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5.后备电源设备定期检测，符合应急使用要求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弱电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1.中控室实行24小时值班制度，监控设备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显示时间准确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4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2.值班人员熟练掌握中控系统的操作规程，对于系统显示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的报警、设备故障和突发事件，及时处理并作好记录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3.监控录像图像清晰完整，按规定时间保存备查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4.系统设备运行正常，日常巡视检查、维修养护记录完整， 现场测试符合要求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2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30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1.消防设施设置平面图、安全疏散示意图按幢设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置在楼层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明显位置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2.消防监控系统运行良好，自动和手动报警设施启动正常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3.消火栓、自动喷水灭火系统、气体灭火系统能够正常启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2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4.消火栓箱、防火卷帘、防火门、灭火器、消防水泵、消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防压力表、正压送风、防排烟系统等消防设施设备定期检验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 维修养护记录完整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164" w:firstLine="216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5.温感、烟感、管网、阀门等设备运行正常，定期测试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维修养护记录完整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86" w:firstLine="22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6.疏散指示灯、应急灯、应急工具、防火门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含闭门器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应齐全、完好、有效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2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7.对消防维护保养单位或消防技术服务检测机构的作业实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施监督管理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电梯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1.合格证、年检证明、紧急救援电话和乘客注意事项置于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轿厢醒目位置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2.对电梯维保单位的作业实施监督管理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3.电梯巡视检查、维修养护记录完整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4.电梯机房配有平层标识图，灭火器、应急照明、盘车救 援等工具齐全且环境温度、湿度值在规定范围内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5.电梯轿厢、井道内清洁；消防电梯底坑应有排水装置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6.电梯按物业服务合同的约定时间运行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7.电梯出现故障或险情，管理人员接到报修后应在30分钟 时间内到达现场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4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给排水系统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-37465</wp:posOffset>
                      </wp:positionH>
                      <wp:positionV relativeFrom="page">
                        <wp:posOffset>1150620</wp:posOffset>
                      </wp:positionV>
                      <wp:extent cx="187960" cy="3479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87960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8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="eaVert"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95pt;margin-top:90.6pt;height:27.4pt;width:14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Ck3X4S1gAAAAkBAAAPAAAAAAAAAAEAIAAAADgAAABkcnMvZG93bnJldi54bWxQ&#10;SwECFAAUAAAACACHTuJAy6fseaoBAAA3AwAADgAAAAAAAAABACAAAAA7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218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二次供水水质定期检测，符合卫生标准并公示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2.给排水系统设备完好、运行正常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3.设备巡视检查、维修养护记录完整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4.生活水箱实行双锁制度，进入孔、透气孔和溢水孔加装 防护网罩周边无污染源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5.生活水箱定期清洗、消毒，操作人员持证上岗并记录完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整清晰；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6.水泵、阀门、管网等设备名称、流向、运行状态标识清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7.设备无锈蚀、无跑冒滴漏、无污染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8.通道、地下室、设备机房及车库无积水和浸泡现象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" w:firstLine="4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position w:val="4"/>
                <w:sz w:val="21"/>
                <w:szCs w:val="21"/>
              </w:rPr>
              <w:t>避雷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1.配备避雷设施位置平面图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2.避雷设施定期检查、维护，接地电阻测试记录完整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4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7" w:right="64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节能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w w:val="116"/>
                <w:sz w:val="21"/>
                <w:szCs w:val="21"/>
              </w:rPr>
              <w:t>降耗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计划与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措施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1.建立能耗定期监控、统计、分析制度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2.制定节能降耗计划与实施方案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3.通过管理创新、技术改造，达到明显节能效果有书面分 析材料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4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9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秩序维护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4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position w:val="4"/>
                <w:sz w:val="21"/>
                <w:szCs w:val="21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57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1.主出入口实行24小时值班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2.监控系统、门禁系统正常运行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4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5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3.危及人身、财产安全部位应当有具体的危险防范措施及 相应的应急预案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4.消防设施设备完好有效，可随时启用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5.安全疏散通道、消防车通道等畅通，无杂物堆放、无违章占用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6.按规定定期进行消防安全宣传，每年组织开展不少于两次的消防培训演练，并登记造册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7.机动车停车场管理责任明确，车辆进出有登记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4" w:firstLineChars="100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8.非机动车集中停放管理，并配备电动自行车集中停放充 电需求，无违规停放或充电行为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9.根据有关规定、标准建立志愿消防队或微型消防站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46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环境服务管理</w:t>
            </w:r>
          </w:p>
        </w:tc>
        <w:tc>
          <w:tcPr>
            <w:tcW w:w="61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消杀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right="34"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1.卫生设施完备、定期卫生消毒，实施垃圾分类管理，日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产日清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2.共用部位保持清洁，无擅自占用和堆放杂物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3.防治鼠害、虫害等有计划，有措施，有记录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5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9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绿化管理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4" w:right="143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21"/>
                <w:szCs w:val="21"/>
              </w:rPr>
              <w:t>绿化 养护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1.制定绿化养护计划和安全防护管理措施并落实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right="31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2.设置有爱护绿化提示标志温馨清晰，重点树木品种实行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标牌管理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firstLine="22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.植物长势良好，修剪整齐美观；无病虫害、践踏、占用 现象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auto"/>
              <w:ind w:right="39" w:firstLine="20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4.绿化图纸、苗木清单等资料齐全，养护计划、设备、工</w:t>
            </w:r>
            <w:r>
              <w:rPr>
                <w:rFonts w:hint="eastAsia" w:ascii="仿宋_GB2312" w:hAnsi="仿宋_GB2312" w:eastAsia="仿宋_GB2312" w:cs="仿宋_GB2312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具台帐完善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9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社区治理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党建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引领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1.物业企业成立党组织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459"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2.积极参加街道、社区各项开展工作并接受指导监督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459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3.积极参加“美好家园小区”创建活动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 w:right="143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</w:rPr>
              <w:t>服务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开展居家社区养老、托幼、家政、文化、健康、房屋经纪等服务的，每项0.5分，累计最高3分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5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9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荣誉表彰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4"/>
                <w:sz w:val="21"/>
                <w:szCs w:val="21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获奖</w:t>
            </w:r>
          </w:p>
        </w:tc>
        <w:tc>
          <w:tcPr>
            <w:tcW w:w="4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1.国家表彰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累计最高3分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2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2.省级表彰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3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213"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3.物业企业参加省级物业管理职业技能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大赛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累计最高2分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一等奖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二等奖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1.5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3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三等奖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6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</w:rPr>
              <w:t>二、业主满意度调查部分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40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7" w:right="143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履约</w:t>
            </w: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4"/>
                <w:sz w:val="21"/>
                <w:szCs w:val="21"/>
              </w:rPr>
              <w:t>1.服务质量评分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2.服务态度评分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30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3.质价相符评分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87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B4F78"/>
    <w:rsid w:val="F4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2023-07-03T09:46:00Z</dcterms:created>
  <dc:creator>baixin</dc:creator>
  <cp:lastModifiedBy>baixin</cp:lastModifiedBy>
  <dcterms:modified xsi:type="dcterms:W3CDTF">2023-07-03T10:02:27Z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