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3</w:t>
      </w:r>
    </w:p>
    <w:p>
      <w:pPr>
        <w:spacing w:before="177" w:line="225" w:lineRule="auto"/>
        <w:ind w:left="4152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地震灾害分级和对应响应级别</w:t>
      </w:r>
    </w:p>
    <w:bookmarkEnd w:id="0"/>
    <w:p>
      <w:pPr>
        <w:spacing w:line="68" w:lineRule="auto"/>
        <w:rPr>
          <w:rFonts w:ascii="Arial"/>
          <w:sz w:val="2"/>
        </w:rPr>
      </w:pPr>
    </w:p>
    <w:tbl>
      <w:tblPr>
        <w:tblStyle w:val="10"/>
        <w:tblW w:w="13433" w:type="dxa"/>
        <w:tblInd w:w="2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2684"/>
        <w:gridCol w:w="2684"/>
        <w:gridCol w:w="2684"/>
        <w:gridCol w:w="26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689" w:type="dxa"/>
            <w:vAlign w:val="top"/>
          </w:tcPr>
          <w:p>
            <w:pPr>
              <w:spacing w:before="269" w:line="222" w:lineRule="auto"/>
              <w:ind w:left="8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灾害分级</w:t>
            </w:r>
          </w:p>
        </w:tc>
        <w:tc>
          <w:tcPr>
            <w:tcW w:w="2684" w:type="dxa"/>
            <w:vAlign w:val="top"/>
          </w:tcPr>
          <w:p>
            <w:pPr>
              <w:spacing w:before="269" w:line="222" w:lineRule="auto"/>
              <w:ind w:left="107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一般</w:t>
            </w:r>
          </w:p>
        </w:tc>
        <w:tc>
          <w:tcPr>
            <w:tcW w:w="2684" w:type="dxa"/>
            <w:vAlign w:val="top"/>
          </w:tcPr>
          <w:p>
            <w:pPr>
              <w:spacing w:before="269" w:line="224" w:lineRule="auto"/>
              <w:ind w:left="106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较大</w:t>
            </w:r>
          </w:p>
        </w:tc>
        <w:tc>
          <w:tcPr>
            <w:tcW w:w="2684" w:type="dxa"/>
            <w:vAlign w:val="top"/>
          </w:tcPr>
          <w:p>
            <w:pPr>
              <w:spacing w:before="270" w:line="225" w:lineRule="auto"/>
              <w:ind w:left="10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重大</w:t>
            </w:r>
          </w:p>
        </w:tc>
        <w:tc>
          <w:tcPr>
            <w:tcW w:w="2692" w:type="dxa"/>
            <w:vAlign w:val="top"/>
          </w:tcPr>
          <w:p>
            <w:pPr>
              <w:spacing w:before="270" w:line="222" w:lineRule="auto"/>
              <w:ind w:left="7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特别重大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2689" w:type="dxa"/>
            <w:vAlign w:val="top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1"/>
              <w:spacing w:before="91" w:line="223" w:lineRule="auto"/>
              <w:ind w:left="8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分级标准</w:t>
            </w:r>
          </w:p>
        </w:tc>
        <w:tc>
          <w:tcPr>
            <w:tcW w:w="2684" w:type="dxa"/>
            <w:vAlign w:val="top"/>
          </w:tcPr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1"/>
              <w:spacing w:before="91" w:line="254" w:lineRule="auto"/>
              <w:ind w:left="139" w:right="73" w:firstLine="1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人口较密集地区发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生4.0-5.0</w:t>
            </w:r>
            <w:r>
              <w:rPr>
                <w:rFonts w:hint="eastAsia" w:ascii="仿宋_GB2312" w:hAnsi="仿宋_GB2312" w:eastAsia="仿宋_GB2312" w:cs="仿宋_GB2312"/>
                <w:spacing w:val="-7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级地震或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地震灾害造成</w:t>
            </w:r>
            <w:r>
              <w:rPr>
                <w:rFonts w:hint="eastAsia" w:ascii="仿宋_GB2312" w:hAnsi="仿宋_GB2312" w:eastAsia="仿宋_GB2312" w:cs="仿宋_GB2312"/>
                <w:spacing w:val="-3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4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人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以下死亡（含失踪）</w:t>
            </w:r>
          </w:p>
        </w:tc>
        <w:tc>
          <w:tcPr>
            <w:tcW w:w="2684" w:type="dxa"/>
            <w:vAlign w:val="top"/>
          </w:tcPr>
          <w:p>
            <w:pPr>
              <w:spacing w:line="41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1"/>
              <w:spacing w:before="91" w:line="222" w:lineRule="auto"/>
              <w:ind w:left="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人口较密集地区发</w:t>
            </w:r>
          </w:p>
          <w:p>
            <w:pPr>
              <w:pStyle w:val="11"/>
              <w:spacing w:before="61" w:line="224" w:lineRule="auto"/>
              <w:ind w:left="13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-5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5.0-6.0</w:t>
            </w:r>
            <w:r>
              <w:rPr>
                <w:rFonts w:hint="eastAsia" w:ascii="仿宋_GB2312" w:hAnsi="仿宋_GB2312" w:eastAsia="仿宋_GB2312" w:cs="仿宋_GB2312"/>
                <w:spacing w:val="-4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级地震，</w:t>
            </w:r>
          </w:p>
          <w:p>
            <w:pPr>
              <w:pStyle w:val="11"/>
              <w:spacing w:before="60" w:line="222" w:lineRule="auto"/>
              <w:ind w:left="2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人口密集地区发生</w:t>
            </w:r>
          </w:p>
          <w:p>
            <w:pPr>
              <w:pStyle w:val="11"/>
              <w:spacing w:before="64" w:line="224" w:lineRule="auto"/>
              <w:ind w:left="1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4.0-5.0</w:t>
            </w:r>
            <w:r>
              <w:rPr>
                <w:rFonts w:hint="eastAsia" w:ascii="仿宋_GB2312" w:hAnsi="仿宋_GB2312" w:eastAsia="仿宋_GB2312" w:cs="仿宋_GB2312"/>
                <w:spacing w:val="-4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级地震或地</w:t>
            </w:r>
          </w:p>
          <w:p>
            <w:pPr>
              <w:pStyle w:val="11"/>
              <w:spacing w:before="59" w:line="224" w:lineRule="auto"/>
              <w:ind w:left="1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震造成</w:t>
            </w:r>
            <w:r>
              <w:rPr>
                <w:rFonts w:hint="eastAsia" w:ascii="仿宋_GB2312" w:hAnsi="仿宋_GB2312" w:eastAsia="仿宋_GB2312" w:cs="仿宋_GB2312"/>
                <w:spacing w:val="-5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10-50</w:t>
            </w:r>
            <w:r>
              <w:rPr>
                <w:rFonts w:hint="eastAsia" w:ascii="仿宋_GB2312" w:hAnsi="仿宋_GB2312" w:eastAsia="仿宋_GB2312" w:cs="仿宋_GB2312"/>
                <w:spacing w:val="-7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人死亡</w:t>
            </w:r>
          </w:p>
          <w:p>
            <w:pPr>
              <w:pStyle w:val="11"/>
              <w:spacing w:before="61" w:line="224" w:lineRule="auto"/>
              <w:ind w:left="65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（含失踪）</w:t>
            </w:r>
          </w:p>
        </w:tc>
        <w:tc>
          <w:tcPr>
            <w:tcW w:w="2684" w:type="dxa"/>
            <w:vAlign w:val="top"/>
          </w:tcPr>
          <w:p>
            <w:pPr>
              <w:spacing w:line="4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1"/>
              <w:spacing w:before="91" w:line="256" w:lineRule="auto"/>
              <w:ind w:left="130" w:right="109" w:firstLine="113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 xml:space="preserve">人口较密集地区发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-5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6.0-7.0</w:t>
            </w:r>
            <w:r>
              <w:rPr>
                <w:rFonts w:hint="eastAsia" w:ascii="仿宋_GB2312" w:hAnsi="仿宋_GB2312" w:eastAsia="仿宋_GB2312" w:cs="仿宋_GB2312"/>
                <w:spacing w:val="-4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级地震，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人口密集地区发生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5.0-6.0</w:t>
            </w:r>
            <w:r>
              <w:rPr>
                <w:rFonts w:hint="eastAsia" w:ascii="仿宋_GB2312" w:hAnsi="仿宋_GB2312" w:eastAsia="仿宋_GB2312" w:cs="仿宋_GB2312"/>
                <w:spacing w:val="-5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级地震或地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震造成</w:t>
            </w:r>
            <w:r>
              <w:rPr>
                <w:rFonts w:hint="eastAsia" w:ascii="仿宋_GB2312" w:hAnsi="仿宋_GB2312" w:eastAsia="仿宋_GB2312" w:cs="仿宋_GB2312"/>
                <w:spacing w:val="-4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50-300</w:t>
            </w:r>
            <w:r>
              <w:rPr>
                <w:rFonts w:hint="eastAsia" w:ascii="仿宋_GB2312" w:hAnsi="仿宋_GB2312" w:eastAsia="仿宋_GB2312" w:cs="仿宋_GB2312"/>
                <w:spacing w:val="-4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人死</w:t>
            </w:r>
          </w:p>
          <w:p>
            <w:pPr>
              <w:pStyle w:val="11"/>
              <w:spacing w:before="61" w:line="224" w:lineRule="auto"/>
              <w:ind w:left="5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亡（含失踪）</w:t>
            </w:r>
          </w:p>
        </w:tc>
        <w:tc>
          <w:tcPr>
            <w:tcW w:w="2692" w:type="dxa"/>
            <w:vAlign w:val="top"/>
          </w:tcPr>
          <w:p>
            <w:pPr>
              <w:spacing w:line="41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1"/>
              <w:spacing w:before="91" w:line="222" w:lineRule="auto"/>
              <w:ind w:left="24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人口较密集地区发</w:t>
            </w:r>
          </w:p>
          <w:p>
            <w:pPr>
              <w:pStyle w:val="11"/>
              <w:spacing w:before="61" w:line="224" w:lineRule="auto"/>
              <w:ind w:left="1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-5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7.0</w:t>
            </w:r>
            <w:r>
              <w:rPr>
                <w:rFonts w:hint="eastAsia" w:ascii="仿宋_GB2312" w:hAnsi="仿宋_GB2312" w:eastAsia="仿宋_GB2312" w:cs="仿宋_GB2312"/>
                <w:spacing w:val="-5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级以上，人口</w:t>
            </w:r>
          </w:p>
          <w:p>
            <w:pPr>
              <w:pStyle w:val="11"/>
              <w:spacing w:before="60" w:line="222" w:lineRule="auto"/>
              <w:ind w:left="13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密集地区发生</w:t>
            </w:r>
            <w:r>
              <w:rPr>
                <w:rFonts w:hint="eastAsia" w:ascii="仿宋_GB2312" w:hAnsi="仿宋_GB2312" w:eastAsia="仿宋_GB2312" w:cs="仿宋_GB2312"/>
                <w:spacing w:val="-7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6.0</w:t>
            </w:r>
            <w:r>
              <w:rPr>
                <w:rFonts w:hint="eastAsia" w:ascii="仿宋_GB2312" w:hAnsi="仿宋_GB2312" w:eastAsia="仿宋_GB2312" w:cs="仿宋_GB2312"/>
                <w:spacing w:val="-7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级</w:t>
            </w:r>
          </w:p>
          <w:p>
            <w:pPr>
              <w:pStyle w:val="11"/>
              <w:spacing w:before="64" w:line="225" w:lineRule="auto"/>
              <w:ind w:left="26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以上地震或地震造</w:t>
            </w:r>
          </w:p>
          <w:p>
            <w:pPr>
              <w:pStyle w:val="11"/>
              <w:spacing w:before="57" w:line="224" w:lineRule="auto"/>
              <w:ind w:left="24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5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300</w:t>
            </w:r>
            <w:r>
              <w:rPr>
                <w:rFonts w:hint="eastAsia" w:ascii="仿宋_GB2312" w:hAnsi="仿宋_GB2312" w:eastAsia="仿宋_GB2312" w:cs="仿宋_GB2312"/>
                <w:spacing w:val="-4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人以上死亡</w:t>
            </w:r>
          </w:p>
          <w:p>
            <w:pPr>
              <w:pStyle w:val="11"/>
              <w:spacing w:before="61" w:line="224" w:lineRule="auto"/>
              <w:ind w:left="66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（含失踪）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689" w:type="dxa"/>
            <w:vAlign w:val="top"/>
          </w:tcPr>
          <w:p>
            <w:pPr>
              <w:spacing w:line="29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1"/>
              <w:spacing w:before="91" w:line="224" w:lineRule="auto"/>
              <w:ind w:left="80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响应级别</w:t>
            </w:r>
          </w:p>
        </w:tc>
        <w:tc>
          <w:tcPr>
            <w:tcW w:w="2684" w:type="dxa"/>
            <w:vAlign w:val="top"/>
          </w:tcPr>
          <w:p>
            <w:pPr>
              <w:spacing w:line="29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1"/>
              <w:spacing w:before="91" w:line="224" w:lineRule="auto"/>
              <w:ind w:left="83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</w:rPr>
              <w:t>四级响应</w:t>
            </w:r>
          </w:p>
        </w:tc>
        <w:tc>
          <w:tcPr>
            <w:tcW w:w="2684" w:type="dxa"/>
            <w:vAlign w:val="top"/>
          </w:tcPr>
          <w:p>
            <w:pPr>
              <w:spacing w:line="29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1"/>
              <w:spacing w:before="91" w:line="224" w:lineRule="auto"/>
              <w:ind w:left="8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三级响应</w:t>
            </w:r>
          </w:p>
        </w:tc>
        <w:tc>
          <w:tcPr>
            <w:tcW w:w="2684" w:type="dxa"/>
            <w:vAlign w:val="top"/>
          </w:tcPr>
          <w:p>
            <w:pPr>
              <w:spacing w:line="30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1"/>
              <w:spacing w:before="91" w:line="224" w:lineRule="auto"/>
              <w:ind w:left="80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二级响应</w:t>
            </w:r>
          </w:p>
        </w:tc>
        <w:tc>
          <w:tcPr>
            <w:tcW w:w="2692" w:type="dxa"/>
            <w:vAlign w:val="top"/>
          </w:tcPr>
          <w:p>
            <w:pPr>
              <w:spacing w:line="30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11"/>
              <w:spacing w:before="91" w:line="224" w:lineRule="auto"/>
              <w:ind w:left="80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一级响应</w:t>
            </w:r>
          </w:p>
        </w:tc>
      </w:tr>
    </w:tbl>
    <w:p>
      <w:pPr>
        <w:pStyle w:val="5"/>
        <w:spacing w:before="327" w:line="222" w:lineRule="auto"/>
        <w:ind w:left="370"/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说明：人口密集地区专指设县（区）的城区，其余地区为人口较密集区。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BED41"/>
    <w:rsid w:val="F5FBE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next w:val="1"/>
    <w:qFormat/>
    <w:uiPriority w:val="0"/>
    <w:pPr>
      <w:jc w:val="left"/>
    </w:pPr>
    <w:rPr>
      <w:kern w:val="0"/>
      <w:sz w:val="24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2024-07-10T10:12:00Z</dcterms:created>
  <dc:creator>baixin</dc:creator>
  <cp:lastModifiedBy>baixin</cp:lastModifiedBy>
  <dcterms:modified xsi:type="dcterms:W3CDTF">2024-07-10T10:13:26Z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B99D7270B4702A3521EE8D666B08CD34</vt:lpwstr>
  </property>
</Properties>
</file>